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546AB5" w:rsidRDefault="00546AB5">
      <w:pPr>
        <w:rPr>
          <w:b/>
        </w:rPr>
      </w:pPr>
      <w:r w:rsidRPr="00546AB5">
        <w:rPr>
          <w:b/>
        </w:rPr>
        <w:t xml:space="preserve">PVV: </w:t>
      </w:r>
      <w:bookmarkStart w:id="0" w:name="_GoBack"/>
      <w:r w:rsidRPr="00546AB5">
        <w:rPr>
          <w:b/>
        </w:rPr>
        <w:t xml:space="preserve">Explanation for the difference in FS 2015 before and after audit </w:t>
      </w:r>
      <w:bookmarkEnd w:id="0"/>
    </w:p>
    <w:p w:rsidR="00546AB5" w:rsidRDefault="00546AB5">
      <w:r>
        <w:t xml:space="preserve">On 23/03/2016, </w:t>
      </w:r>
      <w:proofErr w:type="spellStart"/>
      <w:r w:rsidRPr="00546AB5">
        <w:t>Vinaconex</w:t>
      </w:r>
      <w:proofErr w:type="spellEnd"/>
      <w:r w:rsidRPr="00546AB5">
        <w:t xml:space="preserve"> - PVC Construction Investment </w:t>
      </w:r>
      <w:r>
        <w:t>Joint Stock Company explained the difference in the FS 2015 before and after audit as follows:</w:t>
      </w:r>
    </w:p>
    <w:p w:rsidR="00546AB5" w:rsidRPr="00546AB5" w:rsidRDefault="00546AB5">
      <w:pPr>
        <w:rPr>
          <w:b/>
        </w:rPr>
      </w:pPr>
      <w:r w:rsidRPr="00546AB5">
        <w:rPr>
          <w:b/>
        </w:rPr>
        <w:t>I. Consolidated FS</w:t>
      </w:r>
    </w:p>
    <w:tbl>
      <w:tblPr>
        <w:tblStyle w:val="TableGrid"/>
        <w:tblW w:w="0" w:type="auto"/>
        <w:tblLook w:val="04A0" w:firstRow="1" w:lastRow="0" w:firstColumn="1" w:lastColumn="0" w:noHBand="0" w:noVBand="1"/>
      </w:tblPr>
      <w:tblGrid>
        <w:gridCol w:w="1870"/>
        <w:gridCol w:w="1870"/>
        <w:gridCol w:w="1870"/>
        <w:gridCol w:w="1870"/>
        <w:gridCol w:w="1870"/>
      </w:tblGrid>
      <w:tr w:rsidR="00546AB5" w:rsidTr="00546AB5">
        <w:tc>
          <w:tcPr>
            <w:tcW w:w="1870" w:type="dxa"/>
          </w:tcPr>
          <w:p w:rsidR="00546AB5" w:rsidRDefault="00546AB5">
            <w:r>
              <w:t>Contents</w:t>
            </w:r>
          </w:p>
        </w:tc>
        <w:tc>
          <w:tcPr>
            <w:tcW w:w="1870" w:type="dxa"/>
          </w:tcPr>
          <w:p w:rsidR="00546AB5" w:rsidRDefault="00546AB5">
            <w:r>
              <w:t>Before audit</w:t>
            </w:r>
          </w:p>
        </w:tc>
        <w:tc>
          <w:tcPr>
            <w:tcW w:w="1870" w:type="dxa"/>
          </w:tcPr>
          <w:p w:rsidR="00546AB5" w:rsidRDefault="00546AB5">
            <w:r>
              <w:t>After audit</w:t>
            </w:r>
          </w:p>
        </w:tc>
        <w:tc>
          <w:tcPr>
            <w:tcW w:w="1870" w:type="dxa"/>
          </w:tcPr>
          <w:p w:rsidR="00546AB5" w:rsidRDefault="00546AB5">
            <w:r>
              <w:t>Difference</w:t>
            </w:r>
          </w:p>
        </w:tc>
        <w:tc>
          <w:tcPr>
            <w:tcW w:w="1870" w:type="dxa"/>
          </w:tcPr>
          <w:p w:rsidR="00546AB5" w:rsidRDefault="00546AB5">
            <w:r>
              <w:t>%</w:t>
            </w:r>
          </w:p>
        </w:tc>
      </w:tr>
      <w:tr w:rsidR="00546AB5" w:rsidTr="00546AB5">
        <w:tc>
          <w:tcPr>
            <w:tcW w:w="1870" w:type="dxa"/>
          </w:tcPr>
          <w:p w:rsidR="00546AB5" w:rsidRDefault="00546AB5">
            <w:r>
              <w:t>Net revenue</w:t>
            </w:r>
          </w:p>
        </w:tc>
        <w:tc>
          <w:tcPr>
            <w:tcW w:w="1870" w:type="dxa"/>
          </w:tcPr>
          <w:p w:rsidR="00546AB5" w:rsidRDefault="00546AB5">
            <w:r>
              <w:t>423,326,609</w:t>
            </w:r>
          </w:p>
        </w:tc>
        <w:tc>
          <w:tcPr>
            <w:tcW w:w="1870" w:type="dxa"/>
          </w:tcPr>
          <w:p w:rsidR="00546AB5" w:rsidRDefault="00546AB5">
            <w:r>
              <w:t>426,444,266,671</w:t>
            </w:r>
          </w:p>
        </w:tc>
        <w:tc>
          <w:tcPr>
            <w:tcW w:w="1870" w:type="dxa"/>
          </w:tcPr>
          <w:p w:rsidR="00546AB5" w:rsidRDefault="00546AB5">
            <w:r>
              <w:t>3,117,657,026</w:t>
            </w:r>
          </w:p>
        </w:tc>
        <w:tc>
          <w:tcPr>
            <w:tcW w:w="1870" w:type="dxa"/>
          </w:tcPr>
          <w:p w:rsidR="00546AB5" w:rsidRDefault="00546AB5">
            <w:r>
              <w:t>0.7%</w:t>
            </w:r>
          </w:p>
        </w:tc>
      </w:tr>
      <w:tr w:rsidR="00546AB5" w:rsidTr="00546AB5">
        <w:tc>
          <w:tcPr>
            <w:tcW w:w="1870" w:type="dxa"/>
          </w:tcPr>
          <w:p w:rsidR="00546AB5" w:rsidRDefault="00546AB5">
            <w:r>
              <w:t>Profit before tax</w:t>
            </w:r>
          </w:p>
        </w:tc>
        <w:tc>
          <w:tcPr>
            <w:tcW w:w="1870" w:type="dxa"/>
          </w:tcPr>
          <w:p w:rsidR="00546AB5" w:rsidRDefault="00546AB5">
            <w:r>
              <w:t>645,11,270,561</w:t>
            </w:r>
          </w:p>
        </w:tc>
        <w:tc>
          <w:tcPr>
            <w:tcW w:w="1870" w:type="dxa"/>
          </w:tcPr>
          <w:p w:rsidR="00546AB5" w:rsidRDefault="00546AB5">
            <w:r>
              <w:t>12,280,514,583</w:t>
            </w:r>
          </w:p>
        </w:tc>
        <w:tc>
          <w:tcPr>
            <w:tcW w:w="1870" w:type="dxa"/>
          </w:tcPr>
          <w:p w:rsidR="00546AB5" w:rsidRDefault="00546AB5">
            <w:r>
              <w:t>1,010,453,022</w:t>
            </w:r>
          </w:p>
        </w:tc>
        <w:tc>
          <w:tcPr>
            <w:tcW w:w="1870" w:type="dxa"/>
          </w:tcPr>
          <w:p w:rsidR="00546AB5" w:rsidRDefault="00546AB5">
            <w:r>
              <w:t>8.9%</w:t>
            </w:r>
          </w:p>
        </w:tc>
      </w:tr>
      <w:tr w:rsidR="00546AB5" w:rsidTr="00546AB5">
        <w:tc>
          <w:tcPr>
            <w:tcW w:w="1870" w:type="dxa"/>
          </w:tcPr>
          <w:p w:rsidR="00546AB5" w:rsidRDefault="00546AB5">
            <w:r>
              <w:t>Profit after tax</w:t>
            </w:r>
          </w:p>
        </w:tc>
        <w:tc>
          <w:tcPr>
            <w:tcW w:w="1870" w:type="dxa"/>
          </w:tcPr>
          <w:p w:rsidR="00546AB5" w:rsidRDefault="00546AB5">
            <w:r>
              <w:t>3,390,345,755</w:t>
            </w:r>
          </w:p>
        </w:tc>
        <w:tc>
          <w:tcPr>
            <w:tcW w:w="1870" w:type="dxa"/>
          </w:tcPr>
          <w:p w:rsidR="00546AB5" w:rsidRDefault="00546AB5">
            <w:r>
              <w:t>4,229,822,408</w:t>
            </w:r>
          </w:p>
        </w:tc>
        <w:tc>
          <w:tcPr>
            <w:tcW w:w="1870" w:type="dxa"/>
          </w:tcPr>
          <w:p w:rsidR="00546AB5" w:rsidRDefault="00546AB5">
            <w:r>
              <w:t>839,476,653</w:t>
            </w:r>
          </w:p>
        </w:tc>
        <w:tc>
          <w:tcPr>
            <w:tcW w:w="1870" w:type="dxa"/>
          </w:tcPr>
          <w:p w:rsidR="00546AB5" w:rsidRDefault="00546AB5">
            <w:r>
              <w:t>24.7%</w:t>
            </w:r>
          </w:p>
        </w:tc>
      </w:tr>
    </w:tbl>
    <w:p w:rsidR="00546AB5" w:rsidRDefault="00546AB5"/>
    <w:p w:rsidR="00546AB5" w:rsidRDefault="00546AB5">
      <w:r>
        <w:t>Profit after tax of 2015 increased by VND 839,476,653 after audit</w:t>
      </w:r>
    </w:p>
    <w:p w:rsidR="00546AB5" w:rsidRDefault="00546AB5">
      <w:r>
        <w:t>Explanation:</w:t>
      </w:r>
    </w:p>
    <w:p w:rsidR="00546AB5" w:rsidRDefault="00546AB5">
      <w:r>
        <w:t xml:space="preserve">- The revenue from real estate business that </w:t>
      </w:r>
      <w:proofErr w:type="gramStart"/>
      <w:r>
        <w:t>were qualified to be recorded</w:t>
      </w:r>
      <w:proofErr w:type="gramEnd"/>
      <w:r>
        <w:t xml:space="preserve"> into revenue of 2015 increased by VND 3,177,657,026 after audit. The Cost of Goods Sold increased correspondingly by VND 2,073,704,004. Therefore, the profit before tax and profit after tax of 2015 increased after audit</w:t>
      </w:r>
    </w:p>
    <w:p w:rsidR="00546AB5" w:rsidRDefault="00546AB5">
      <w:pPr>
        <w:rPr>
          <w:b/>
        </w:rPr>
      </w:pPr>
      <w:r w:rsidRPr="00546AB5">
        <w:rPr>
          <w:b/>
        </w:rPr>
        <w:t>II. Holding Company</w:t>
      </w:r>
    </w:p>
    <w:tbl>
      <w:tblPr>
        <w:tblStyle w:val="TableGrid"/>
        <w:tblW w:w="0" w:type="auto"/>
        <w:tblLook w:val="04A0" w:firstRow="1" w:lastRow="0" w:firstColumn="1" w:lastColumn="0" w:noHBand="0" w:noVBand="1"/>
      </w:tblPr>
      <w:tblGrid>
        <w:gridCol w:w="1870"/>
        <w:gridCol w:w="1870"/>
        <w:gridCol w:w="1870"/>
        <w:gridCol w:w="1870"/>
        <w:gridCol w:w="1870"/>
      </w:tblGrid>
      <w:tr w:rsidR="00546AB5" w:rsidTr="00390DEA">
        <w:tc>
          <w:tcPr>
            <w:tcW w:w="1870" w:type="dxa"/>
          </w:tcPr>
          <w:p w:rsidR="00546AB5" w:rsidRDefault="00546AB5" w:rsidP="00390DEA">
            <w:r>
              <w:t>Contents</w:t>
            </w:r>
          </w:p>
        </w:tc>
        <w:tc>
          <w:tcPr>
            <w:tcW w:w="1870" w:type="dxa"/>
          </w:tcPr>
          <w:p w:rsidR="00546AB5" w:rsidRDefault="00546AB5" w:rsidP="00390DEA">
            <w:r>
              <w:t>Before audit</w:t>
            </w:r>
          </w:p>
        </w:tc>
        <w:tc>
          <w:tcPr>
            <w:tcW w:w="1870" w:type="dxa"/>
          </w:tcPr>
          <w:p w:rsidR="00546AB5" w:rsidRDefault="00546AB5" w:rsidP="00390DEA">
            <w:r>
              <w:t>After audit</w:t>
            </w:r>
          </w:p>
        </w:tc>
        <w:tc>
          <w:tcPr>
            <w:tcW w:w="1870" w:type="dxa"/>
          </w:tcPr>
          <w:p w:rsidR="00546AB5" w:rsidRDefault="00546AB5" w:rsidP="00390DEA">
            <w:r>
              <w:t>Difference</w:t>
            </w:r>
          </w:p>
        </w:tc>
        <w:tc>
          <w:tcPr>
            <w:tcW w:w="1870" w:type="dxa"/>
          </w:tcPr>
          <w:p w:rsidR="00546AB5" w:rsidRDefault="00546AB5" w:rsidP="00390DEA">
            <w:r>
              <w:t>%</w:t>
            </w:r>
          </w:p>
        </w:tc>
      </w:tr>
      <w:tr w:rsidR="00546AB5" w:rsidTr="00390DEA">
        <w:tc>
          <w:tcPr>
            <w:tcW w:w="1870" w:type="dxa"/>
          </w:tcPr>
          <w:p w:rsidR="00546AB5" w:rsidRDefault="00546AB5" w:rsidP="00390DEA">
            <w:r>
              <w:t>Net revenue</w:t>
            </w:r>
          </w:p>
        </w:tc>
        <w:tc>
          <w:tcPr>
            <w:tcW w:w="1870" w:type="dxa"/>
          </w:tcPr>
          <w:p w:rsidR="00546AB5" w:rsidRDefault="00546AB5" w:rsidP="00390DEA">
            <w:r>
              <w:t>384,586,641,726</w:t>
            </w:r>
          </w:p>
        </w:tc>
        <w:tc>
          <w:tcPr>
            <w:tcW w:w="1870" w:type="dxa"/>
          </w:tcPr>
          <w:p w:rsidR="00546AB5" w:rsidRDefault="00546AB5" w:rsidP="00390DEA">
            <w:r>
              <w:t>387,704,298,752</w:t>
            </w:r>
          </w:p>
        </w:tc>
        <w:tc>
          <w:tcPr>
            <w:tcW w:w="1870" w:type="dxa"/>
          </w:tcPr>
          <w:p w:rsidR="00546AB5" w:rsidRDefault="00546AB5" w:rsidP="00390DEA">
            <w:r>
              <w:t>3,117,657,026</w:t>
            </w:r>
          </w:p>
        </w:tc>
        <w:tc>
          <w:tcPr>
            <w:tcW w:w="1870" w:type="dxa"/>
          </w:tcPr>
          <w:p w:rsidR="00546AB5" w:rsidRDefault="00546AB5" w:rsidP="00390DEA">
            <w:r>
              <w:t>8.1%</w:t>
            </w:r>
          </w:p>
        </w:tc>
      </w:tr>
      <w:tr w:rsidR="00546AB5" w:rsidTr="00390DEA">
        <w:tc>
          <w:tcPr>
            <w:tcW w:w="1870" w:type="dxa"/>
          </w:tcPr>
          <w:p w:rsidR="00546AB5" w:rsidRDefault="00546AB5" w:rsidP="00390DEA">
            <w:r>
              <w:t>Profit before tax</w:t>
            </w:r>
          </w:p>
        </w:tc>
        <w:tc>
          <w:tcPr>
            <w:tcW w:w="1870" w:type="dxa"/>
          </w:tcPr>
          <w:p w:rsidR="00546AB5" w:rsidRDefault="00546AB5" w:rsidP="00390DEA">
            <w:r>
              <w:t>13,484,206,445</w:t>
            </w:r>
          </w:p>
        </w:tc>
        <w:tc>
          <w:tcPr>
            <w:tcW w:w="1870" w:type="dxa"/>
          </w:tcPr>
          <w:p w:rsidR="00546AB5" w:rsidRDefault="00546AB5" w:rsidP="00390DEA">
            <w:r>
              <w:t>14,471,305,182</w:t>
            </w:r>
          </w:p>
        </w:tc>
        <w:tc>
          <w:tcPr>
            <w:tcW w:w="1870" w:type="dxa"/>
          </w:tcPr>
          <w:p w:rsidR="00546AB5" w:rsidRDefault="00546AB5" w:rsidP="00390DEA">
            <w:r>
              <w:t>987,098,737</w:t>
            </w:r>
          </w:p>
        </w:tc>
        <w:tc>
          <w:tcPr>
            <w:tcW w:w="1870" w:type="dxa"/>
          </w:tcPr>
          <w:p w:rsidR="00546AB5" w:rsidRDefault="00546AB5" w:rsidP="00390DEA">
            <w:r>
              <w:t>7.3%</w:t>
            </w:r>
          </w:p>
        </w:tc>
      </w:tr>
      <w:tr w:rsidR="00546AB5" w:rsidTr="00390DEA">
        <w:tc>
          <w:tcPr>
            <w:tcW w:w="1870" w:type="dxa"/>
          </w:tcPr>
          <w:p w:rsidR="00546AB5" w:rsidRDefault="00546AB5" w:rsidP="00390DEA">
            <w:r>
              <w:t>Profit after tax</w:t>
            </w:r>
          </w:p>
        </w:tc>
        <w:tc>
          <w:tcPr>
            <w:tcW w:w="1870" w:type="dxa"/>
          </w:tcPr>
          <w:p w:rsidR="00546AB5" w:rsidRDefault="00546AB5" w:rsidP="00390DEA">
            <w:r>
              <w:t>5,631,653,716</w:t>
            </w:r>
          </w:p>
        </w:tc>
        <w:tc>
          <w:tcPr>
            <w:tcW w:w="1870" w:type="dxa"/>
          </w:tcPr>
          <w:p w:rsidR="00546AB5" w:rsidRDefault="00546AB5" w:rsidP="00390DEA">
            <w:r>
              <w:t>6,447,776,084</w:t>
            </w:r>
          </w:p>
        </w:tc>
        <w:tc>
          <w:tcPr>
            <w:tcW w:w="1870" w:type="dxa"/>
          </w:tcPr>
          <w:p w:rsidR="00546AB5" w:rsidRDefault="00546AB5" w:rsidP="00390DEA">
            <w:r>
              <w:t>816,122,368</w:t>
            </w:r>
          </w:p>
        </w:tc>
        <w:tc>
          <w:tcPr>
            <w:tcW w:w="1870" w:type="dxa"/>
          </w:tcPr>
          <w:p w:rsidR="00546AB5" w:rsidRDefault="00546AB5" w:rsidP="00390DEA">
            <w:r>
              <w:t>14.5%</w:t>
            </w:r>
          </w:p>
        </w:tc>
      </w:tr>
    </w:tbl>
    <w:p w:rsidR="00546AB5" w:rsidRDefault="00546AB5" w:rsidP="00546AB5"/>
    <w:p w:rsidR="00546AB5" w:rsidRDefault="00546AB5" w:rsidP="00546AB5">
      <w:r>
        <w:t>Profit after tax of 2015 increased by VND 816,122,368</w:t>
      </w:r>
      <w:r>
        <w:t xml:space="preserve"> </w:t>
      </w:r>
      <w:r>
        <w:t>after audit</w:t>
      </w:r>
    </w:p>
    <w:p w:rsidR="00546AB5" w:rsidRDefault="00546AB5" w:rsidP="00546AB5">
      <w:r>
        <w:t>Explanation:</w:t>
      </w:r>
    </w:p>
    <w:p w:rsidR="00546AB5" w:rsidRDefault="00546AB5" w:rsidP="00546AB5">
      <w:r>
        <w:t xml:space="preserve">- The revenue from real estate business that </w:t>
      </w:r>
      <w:proofErr w:type="gramStart"/>
      <w:r>
        <w:t>were qualified to be recorded</w:t>
      </w:r>
      <w:proofErr w:type="gramEnd"/>
      <w:r>
        <w:t xml:space="preserve"> into revenue of 2015 increased by VND 3,177,657,026 after audit. The Cost of Goods Sold increased correspondingly by VND 2,073,704,004. Therefore, the profit before tax and profit after tax of 2015 increased after audit</w:t>
      </w:r>
    </w:p>
    <w:p w:rsidR="00546AB5" w:rsidRPr="00546AB5" w:rsidRDefault="00546AB5">
      <w:pPr>
        <w:rPr>
          <w:b/>
        </w:rPr>
      </w:pPr>
    </w:p>
    <w:sectPr w:rsidR="00546AB5" w:rsidRPr="00546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B5"/>
    <w:rsid w:val="00546AB5"/>
    <w:rsid w:val="007263DC"/>
    <w:rsid w:val="00886BED"/>
    <w:rsid w:val="00C16241"/>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A2A6-2BEB-49DC-9473-D3A58902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2016-03-30T04:34:00Z</dcterms:created>
  <dcterms:modified xsi:type="dcterms:W3CDTF">2016-03-30T04:41:00Z</dcterms:modified>
</cp:coreProperties>
</file>